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The field of organizational behavior is about understanding people and managing them to work effectively; how to get people to practise effective teamwork.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Sustained competitive advantage and organizational effectiveness are increasingly related to the management of human capital and organizational behavior.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Management: art of getting things accomplished in organizations through others.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Evidence-based management: using best scientific evidence.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Classical high specialization, and centralized decision making,.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Scientific management: Frederic Taylor’s system for determining optimal specialization and standardisation.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Bureaucracy: Max weber’s ideal organization with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strict chain of command,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detailed rules,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high specialization,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centralized power and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selection and promotion based on technical competence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Hawthorne studies led to the human relations movement: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Strict specialization is incompatible with human needs for growth and achievement. This can lead to employee alienation from the organization and its clients.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Strong centralization and reliance on formal authority often fail to take advantage of the creative ideas and knowledge of lower-level members, who are often closer to the customer. Resistance to change will occur as a matter of course.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Strict, impersonal rules lead members to adopt the minimum level of performance that the rules specify even if higher performance is possible.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Strong specialization causes employees to lose sight of the big picture. Formal procedures become ends in themselves divorced from true needs.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There is no clear management rules to follow for good results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Contingency Approach: no best way to manage and best way is situation dependent.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Renote</w:t>
      </w:r>
    </w:p>
    <w:p w:rsidR="00000000" w:rsidDel="00000000" w:rsidP="00000000" w:rsidRDefault="00000000" w:rsidRPr="00000000" w14:paraId="0000001D">
      <w:pPr>
        <w:ind w:left="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Informational roles: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Monitor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Disseminator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Spokesperson</w:t>
      </w:r>
    </w:p>
    <w:p w:rsidR="00000000" w:rsidDel="00000000" w:rsidP="00000000" w:rsidRDefault="00000000" w:rsidRPr="00000000" w14:paraId="00000021">
      <w:pPr>
        <w:ind w:left="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Interpersonal roles: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F</w:t>
      </w:r>
      <w:r w:rsidDel="00000000" w:rsidR="00000000" w:rsidRPr="00000000">
        <w:rPr>
          <w:rtl w:val="0"/>
        </w:rPr>
        <w:t xml:space="preserve">igureHead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Leader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Liaison</w:t>
      </w:r>
    </w:p>
    <w:p w:rsidR="00000000" w:rsidDel="00000000" w:rsidP="00000000" w:rsidRDefault="00000000" w:rsidRPr="00000000" w14:paraId="00000025">
      <w:pPr>
        <w:ind w:left="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Decision roles: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Entrepreneur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Disturbance handler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Resource Allocator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Intuition required. 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National culture is an important variable in organizational behaviour. 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Appropriateness of leadership styles, motivation techniques, and communication methods.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Workplace spirituality: A workplace that provides employees with meaning, purpose a sense of community, and a connection to others.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Work-life conflict cause rising absenteeism in Canada. 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Psychological capital: individual’s positive psychological state of developpement that is characterized by self efficacy, optimism, hope and resilience.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Talent management: org’s processes for attracting developping retaining and utilizing people with the required skills to meet present and future business needs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Work engagement: a positive work related state of mind that is vigorous dedicated and absorbing.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Corporate social responsibility: orgs responsibility for impact on its stakeholders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